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122" w:beforeLines="0" w:after="122" w:afterLines="0" w:line="240" w:lineRule="auto"/>
        <w:ind w:right="-6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ПОЛОЖЕНИЕ О 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>ГАРАНТИЯХ</w:t>
      </w:r>
    </w:p>
    <w:p>
      <w:pPr>
        <w:widowControl w:val="0"/>
        <w:autoSpaceDE w:val="0"/>
        <w:autoSpaceDN w:val="0"/>
        <w:adjustRightInd w:val="0"/>
        <w:spacing w:before="122" w:beforeLines="0" w:after="122" w:afterLines="0" w:line="240" w:lineRule="auto"/>
        <w:ind w:right="-6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>В ООО «ЦЕНТР СОВРЕМЕННОЙ МЕДИЦИНЫ УНИКЛИНИК»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ind w:right="-6" w:firstLine="706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</w:p>
    <w:p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22" w:beforeLines="0" w:after="122" w:afterLines="0" w:line="240" w:lineRule="auto"/>
        <w:ind w:leftChars="0" w:right="-6" w:rightChars="0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ПРЕДМЕТ ПОЛОЖЕНИЯ</w:t>
      </w:r>
    </w:p>
    <w:p>
      <w:pPr>
        <w:widowControl w:val="0"/>
        <w:numPr>
          <w:numId w:val="0"/>
        </w:numPr>
        <w:tabs>
          <w:tab w:val="left" w:pos="1440"/>
        </w:tabs>
        <w:autoSpaceDE w:val="0"/>
        <w:autoSpaceDN w:val="0"/>
        <w:adjustRightInd w:val="0"/>
        <w:spacing w:before="122" w:beforeLines="0" w:after="122" w:afterLines="0" w:line="240" w:lineRule="auto"/>
        <w:ind w:right="-6" w:rightChars="0"/>
        <w:jc w:val="both"/>
        <w:rPr>
          <w:rFonts w:hint="default" w:ascii="Times New Roman" w:hAnsi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/>
          <w:b w:val="0"/>
          <w:bCs/>
          <w:color w:val="000000"/>
          <w:sz w:val="20"/>
          <w:szCs w:val="20"/>
        </w:rPr>
        <w:t>1.1. Настоящее Положение регулирует гарантийные обязательства и обязательства по срокам службы ООО «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  <w:lang w:val="ru-RU"/>
        </w:rPr>
        <w:t>Центр современной медицины Униклиник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</w:rPr>
        <w:t xml:space="preserve">» (далее «Исполнитель») перед 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  <w:lang w:val="ru-RU"/>
        </w:rPr>
        <w:t>Заказчиком (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</w:rPr>
        <w:t>Пациентом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  <w:lang w:val="ru-RU"/>
        </w:rPr>
        <w:t>)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</w:rPr>
        <w:t xml:space="preserve"> при оказании платных стоматологических услуг. </w:t>
      </w:r>
    </w:p>
    <w:p>
      <w:pPr>
        <w:widowControl w:val="0"/>
        <w:numPr>
          <w:numId w:val="0"/>
        </w:numPr>
        <w:tabs>
          <w:tab w:val="left" w:pos="1440"/>
        </w:tabs>
        <w:autoSpaceDE w:val="0"/>
        <w:autoSpaceDN w:val="0"/>
        <w:adjustRightInd w:val="0"/>
        <w:spacing w:before="122" w:beforeLines="0" w:after="122" w:afterLines="0" w:line="240" w:lineRule="auto"/>
        <w:ind w:right="-6" w:rightChars="0"/>
        <w:jc w:val="both"/>
        <w:rPr>
          <w:rFonts w:hint="default" w:ascii="Times New Roman" w:hAnsi="Times New Roman"/>
          <w:b w:val="0"/>
          <w:bCs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/>
          <w:b w:val="0"/>
          <w:bCs/>
          <w:color w:val="000000"/>
          <w:sz w:val="20"/>
          <w:szCs w:val="20"/>
        </w:rPr>
        <w:t xml:space="preserve">1.2. Настоящее Положение разработано в соответствии с Гражданским кодексом РФ, законом «О защите прав потребителей», 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  <w:lang w:val="ru-RU"/>
        </w:rPr>
        <w:t xml:space="preserve"> П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</w:rPr>
        <w:t>равила предоставления медицинскими организациями платных медицинских услуг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  <w:lang w:val="ru-RU"/>
        </w:rPr>
        <w:t>, утверждёнными постановлением Правительства Российской Федерации от 11 мая 2023 г. N 736 «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</w:rPr>
        <w:t>Об утверждении Правил предоставления медицинскими организациями платных медицинских услуг</w:t>
      </w:r>
      <w:r>
        <w:rPr>
          <w:rFonts w:hint="default" w:ascii="Times New Roman" w:hAnsi="Times New Roman"/>
          <w:b w:val="0"/>
          <w:bCs/>
          <w:color w:val="000000"/>
          <w:sz w:val="20"/>
          <w:szCs w:val="20"/>
          <w:lang w:val="ru-RU"/>
        </w:rPr>
        <w:t>,  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1006»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Style w:val="4"/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>1.3.</w:t>
      </w: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ab/>
      </w: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 xml:space="preserve">Так как результат оказания медицинской услуги почти всегда носит нематериальный характер и выражается в достижении определенного состояния стоматологического здоровья, и так как действия биологических законов и процессов, затрагиваемых при медицинском вмешательстве, не подвластны ни абсолютному контролю, ни воле со стороны человека, то Исполнитель, по независящим как от него, так и от Пациента причинам, не может гарантировать только лишь положительный результат оказанной медицинской услуги. Даже при надлежащем выполнении обеими сторонами своих обязательств по договору, применении самых результативных и зарекомендовавших себя достижений современной медицинской науки, результат оказания медицинской услуги не является на 100% прогнозируемым и может выражаться как в восстановлении, улучшении, так и в отсутствии каких-либо изменений и даже в ухудшении патологических процессов. 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Style w:val="4"/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>1.4.</w:t>
      </w: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ab/>
      </w: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Сроки гарантии и сроки службы могут относиться лишь применительно к материальным (овеществленным) результатам медицинской помощи, а именно: имплантаты, ортопедические и ортодонтические конструкции, пломбы и реставрации (совокупность изделий медицинского назначения, используемых для устранения эстетических и функциональных дефектов зуба).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Style w:val="4"/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 xml:space="preserve">1.5.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Гарантийные сроки на такие изделия, используемые при оказании медицинской помощи, указаны в разделе 1.7 настоящего Положения и обозначают срок, в течение которого изготовитель ручается за функциональные и качественные свойства изделия, т.е. отсутствие его дефектов, при условии соблюдения Пациентом правил пользования таким изделием. Эти сроки не учитывают взаимодействие с тканями человека, а также непредсказуемую реакцию человеческого организма на то или иное медицинское вмешательство, поэтому гарантийные сроки могут быть приняты лишь как ориентировочные, условные. Исполнителем приведены данные, взятые из специальной литературы и общепринятой стоматологической практики.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0" w:afterLines="0" w:line="240" w:lineRule="auto"/>
        <w:ind w:right="-6"/>
        <w:jc w:val="both"/>
        <w:rPr>
          <w:rStyle w:val="4"/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 xml:space="preserve">1.6.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В подавляющем большинстве случаев фактические сроки службы превышают сроки гарантии, но решающим фактором является надлежащее выполнение Пациентом правил и условий эффективного и безопасного пользования результатами оказанной ему медицинской услуги. Такая информация выдается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 xml:space="preserve"> Заказчику (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Пациенту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 xml:space="preserve"> в виде рекомендаций установленного образца и включает в себя:</w:t>
      </w:r>
    </w:p>
    <w:p>
      <w:pPr>
        <w:widowControl w:val="0"/>
        <w:numPr>
          <w:ilvl w:val="1"/>
          <w:numId w:val="2"/>
        </w:numPr>
        <w:tabs>
          <w:tab w:val="left" w:pos="1073"/>
        </w:tabs>
        <w:autoSpaceDE w:val="0"/>
        <w:autoSpaceDN w:val="0"/>
        <w:adjustRightInd w:val="0"/>
        <w:spacing w:beforeLines="0" w:after="0" w:afterLines="0" w:line="240" w:lineRule="auto"/>
        <w:ind w:left="706" w:right="-6" w:firstLine="0"/>
        <w:jc w:val="both"/>
        <w:rPr>
          <w:rStyle w:val="4"/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перечень надлежащих действий Пациента как до, так и после медицинского вмешательства;</w:t>
      </w:r>
    </w:p>
    <w:p>
      <w:pPr>
        <w:widowControl w:val="0"/>
        <w:numPr>
          <w:ilvl w:val="1"/>
          <w:numId w:val="2"/>
        </w:numPr>
        <w:tabs>
          <w:tab w:val="left" w:pos="1073"/>
        </w:tabs>
        <w:autoSpaceDE w:val="0"/>
        <w:autoSpaceDN w:val="0"/>
        <w:adjustRightInd w:val="0"/>
        <w:spacing w:beforeLines="0" w:after="0" w:afterLines="0" w:line="240" w:lineRule="auto"/>
        <w:ind w:left="706" w:right="-6" w:firstLine="0"/>
        <w:jc w:val="both"/>
        <w:rPr>
          <w:rStyle w:val="4"/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медикаментозные и иные назначения Исполнителя;</w:t>
      </w:r>
    </w:p>
    <w:p>
      <w:pPr>
        <w:widowControl w:val="0"/>
        <w:numPr>
          <w:ilvl w:val="1"/>
          <w:numId w:val="2"/>
        </w:numPr>
        <w:tabs>
          <w:tab w:val="left" w:pos="1073"/>
        </w:tabs>
        <w:autoSpaceDE w:val="0"/>
        <w:autoSpaceDN w:val="0"/>
        <w:adjustRightInd w:val="0"/>
        <w:spacing w:beforeLines="0" w:after="0" w:afterLines="0" w:line="240" w:lineRule="auto"/>
        <w:ind w:left="706" w:right="-6" w:firstLine="0"/>
        <w:jc w:val="both"/>
        <w:rPr>
          <w:rStyle w:val="4"/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частота прихода на контрольно-профилактические осмотры и прочее.</w:t>
      </w:r>
    </w:p>
    <w:p>
      <w:pPr>
        <w:widowControl w:val="0"/>
        <w:numPr>
          <w:numId w:val="0"/>
        </w:numPr>
        <w:tabs>
          <w:tab w:val="left" w:pos="1073"/>
        </w:tabs>
        <w:autoSpaceDE w:val="0"/>
        <w:autoSpaceDN w:val="0"/>
        <w:adjustRightInd w:val="0"/>
        <w:spacing w:beforeLines="0" w:after="0" w:afterLines="0" w:line="240" w:lineRule="auto"/>
        <w:ind w:right="-6" w:rightChars="0"/>
        <w:jc w:val="both"/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</w:p>
    <w:p>
      <w:pPr>
        <w:widowControl w:val="0"/>
        <w:numPr>
          <w:numId w:val="0"/>
        </w:numPr>
        <w:tabs>
          <w:tab w:val="left" w:pos="1073"/>
        </w:tabs>
        <w:autoSpaceDE w:val="0"/>
        <w:autoSpaceDN w:val="0"/>
        <w:adjustRightInd w:val="0"/>
        <w:spacing w:beforeLines="0" w:after="0" w:afterLines="0" w:line="240" w:lineRule="auto"/>
        <w:ind w:right="-6" w:rightChars="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widowControl w:val="0"/>
        <w:numPr>
          <w:numId w:val="0"/>
        </w:numPr>
        <w:tabs>
          <w:tab w:val="left" w:pos="1073"/>
        </w:tabs>
        <w:autoSpaceDE w:val="0"/>
        <w:autoSpaceDN w:val="0"/>
        <w:adjustRightInd w:val="0"/>
        <w:spacing w:beforeLines="0" w:after="0" w:afterLines="0" w:line="240" w:lineRule="auto"/>
        <w:ind w:right="-6" w:rightChars="0"/>
        <w:jc w:val="center"/>
        <w:rPr>
          <w:rFonts w:hint="default" w:ascii="Times New Roman" w:hAnsi="Times New Roman"/>
          <w:b/>
          <w:bCs/>
          <w:color w:val="000000"/>
          <w:sz w:val="20"/>
          <w:szCs w:val="20"/>
        </w:rPr>
      </w:pPr>
      <w:r>
        <w:rPr>
          <w:rFonts w:hint="default" w:ascii="Times New Roman" w:hAnsi="Times New Roman"/>
          <w:b/>
          <w:bCs/>
          <w:color w:val="000000"/>
          <w:sz w:val="20"/>
          <w:szCs w:val="20"/>
          <w:lang w:val="en-US"/>
        </w:rPr>
        <w:t>II</w:t>
      </w:r>
      <w:r>
        <w:rPr>
          <w:rFonts w:hint="default" w:ascii="Times New Roman" w:hAnsi="Times New Roman"/>
          <w:b/>
          <w:bCs/>
          <w:color w:val="000000"/>
          <w:sz w:val="20"/>
          <w:szCs w:val="20"/>
          <w:lang w:val="ru-RU"/>
        </w:rPr>
        <w:t xml:space="preserve">. </w:t>
      </w:r>
      <w:r>
        <w:rPr>
          <w:rFonts w:hint="default" w:ascii="Times New Roman" w:hAnsi="Times New Roman"/>
          <w:b/>
          <w:bCs/>
          <w:color w:val="000000"/>
          <w:sz w:val="20"/>
          <w:szCs w:val="20"/>
        </w:rPr>
        <w:t xml:space="preserve">ГАРАНТИЙНЫЕ СРОКИ И СРОКИ СЛУЖБЫ </w:t>
      </w:r>
    </w:p>
    <w:p>
      <w:pPr>
        <w:widowControl w:val="0"/>
        <w:numPr>
          <w:numId w:val="0"/>
        </w:numPr>
        <w:tabs>
          <w:tab w:val="left" w:pos="1073"/>
        </w:tabs>
        <w:autoSpaceDE w:val="0"/>
        <w:autoSpaceDN w:val="0"/>
        <w:adjustRightInd w:val="0"/>
        <w:spacing w:beforeLines="0" w:after="0" w:afterLines="0" w:line="240" w:lineRule="auto"/>
        <w:ind w:right="-6" w:rightChars="0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Times New Roman" w:hAnsi="Times New Roman"/>
          <w:b/>
          <w:bCs/>
          <w:color w:val="000000"/>
          <w:sz w:val="20"/>
          <w:szCs w:val="20"/>
        </w:rPr>
        <w:t>НА ОПРЕДЕЛЕННЫЕ ВИДЫ МЕДИЦИНСКИХ УСЛУГ</w:t>
      </w:r>
    </w:p>
    <w:p>
      <w:pPr>
        <w:widowControl w:val="0"/>
        <w:tabs>
          <w:tab w:val="left" w:pos="367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>1.7.</w:t>
      </w: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ab/>
      </w: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 xml:space="preserve">Исполнителем приведены гарантийные сроки изделий, используемых при оказании следующих видов медицинских услуг: терапевтическая, ортопедическая, имплантологическая и ортодонтическая стоматология. Данные сроки относятся к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>П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ациентам, у которых на момент начала оказания медицинских услуг имеется не более 12 кариозно-пораженных, удаленных зубов (КПУ) при медленно текущем процессе.  При КПУ зубов 13-18 – сроки снижаются на 30%. При КПУ&gt;18 – сроки снижаются на 50%.</w:t>
      </w:r>
    </w:p>
    <w:p>
      <w:pPr>
        <w:widowControl w:val="0"/>
        <w:tabs>
          <w:tab w:val="left" w:pos="367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Гарантийные сроки:</w:t>
      </w:r>
    </w:p>
    <w:p>
      <w:pPr>
        <w:widowControl w:val="0"/>
        <w:tabs>
          <w:tab w:val="left" w:pos="706"/>
        </w:tabs>
        <w:autoSpaceDE w:val="0"/>
        <w:autoSpaceDN w:val="0"/>
        <w:adjustRightInd w:val="0"/>
        <w:spacing w:beforeLines="0" w:after="122" w:afterLines="0" w:line="240" w:lineRule="auto"/>
        <w:ind w:left="706" w:right="-6"/>
        <w:jc w:val="both"/>
        <w:rPr>
          <w:rStyle w:val="4"/>
          <w:rFonts w:hint="default"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i/>
          <w:color w:val="000000"/>
          <w:sz w:val="22"/>
          <w:szCs w:val="22"/>
          <w:u w:val="single"/>
        </w:rPr>
        <w:t>A.</w:t>
      </w:r>
      <w:r>
        <w:rPr>
          <w:rFonts w:hint="default" w:ascii="Times New Roman" w:hAnsi="Times New Roman" w:cs="Times New Roman"/>
          <w:b/>
          <w:i/>
          <w:color w:val="000000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b/>
          <w:i/>
          <w:color w:val="000000"/>
          <w:sz w:val="20"/>
          <w:szCs w:val="20"/>
          <w:u w:val="single"/>
        </w:rPr>
        <w:t xml:space="preserve">Терапевтическая стоматология: 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ind w:left="706" w:right="-6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Пломбы и иные реставрационные материалы:</w:t>
      </w:r>
    </w:p>
    <w:p>
      <w:pPr>
        <w:widowControl w:val="0"/>
        <w:numPr>
          <w:ilvl w:val="1"/>
          <w:numId w:val="3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I, II классы по Блэку* – 1,5 года</w:t>
      </w:r>
    </w:p>
    <w:p>
      <w:pPr>
        <w:widowControl w:val="0"/>
        <w:numPr>
          <w:ilvl w:val="1"/>
          <w:numId w:val="3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III, IV, V классы по Блэку – 1 год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ind w:left="353" w:right="-6" w:firstLine="353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При неудовлетворительной гигиене полости рта – сроки уменьшаются на 70%.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ind w:left="706" w:right="-6"/>
        <w:jc w:val="both"/>
        <w:rPr>
          <w:rFonts w:hint="default" w:ascii="Times New Roman" w:hAnsi="Times New Roman" w:cs="Times New Roman"/>
          <w:i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/>
          <w:color w:val="000000"/>
          <w:sz w:val="20"/>
          <w:szCs w:val="20"/>
        </w:rPr>
        <w:t>* Модифицированная классификация кариозных поражений по локализации .</w:t>
      </w:r>
    </w:p>
    <w:p>
      <w:pPr>
        <w:widowControl w:val="0"/>
        <w:tabs>
          <w:tab w:val="left" w:pos="706"/>
        </w:tabs>
        <w:autoSpaceDE w:val="0"/>
        <w:autoSpaceDN w:val="0"/>
        <w:adjustRightInd w:val="0"/>
        <w:spacing w:before="122" w:beforeLines="0" w:after="122" w:afterLines="0" w:line="240" w:lineRule="auto"/>
        <w:ind w:left="706" w:right="-6"/>
        <w:jc w:val="both"/>
        <w:rPr>
          <w:rStyle w:val="4"/>
          <w:rFonts w:hint="default"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i/>
          <w:color w:val="000000"/>
          <w:sz w:val="22"/>
          <w:szCs w:val="22"/>
          <w:u w:val="single"/>
        </w:rPr>
        <w:t>B.</w:t>
      </w:r>
      <w:r>
        <w:rPr>
          <w:rFonts w:hint="default" w:ascii="Times New Roman" w:hAnsi="Times New Roman" w:cs="Times New Roman"/>
          <w:b/>
          <w:i/>
          <w:color w:val="000000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b/>
          <w:i/>
          <w:color w:val="000000"/>
          <w:sz w:val="20"/>
          <w:szCs w:val="20"/>
          <w:u w:val="single"/>
        </w:rPr>
        <w:t xml:space="preserve">Ортопедическая стоматология: </w:t>
      </w:r>
    </w:p>
    <w:p>
      <w:pPr>
        <w:widowControl w:val="0"/>
        <w:numPr>
          <w:ilvl w:val="1"/>
          <w:numId w:val="4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Виниры (люминиры), вкладки Инлей, Онлей, Оверлей и Пинлей – 1 год</w:t>
      </w:r>
    </w:p>
    <w:p>
      <w:pPr>
        <w:widowControl w:val="0"/>
        <w:numPr>
          <w:ilvl w:val="1"/>
          <w:numId w:val="4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Несъемные мостовидные протезы и коронки – 2 года.</w:t>
      </w:r>
    </w:p>
    <w:p>
      <w:pPr>
        <w:widowControl w:val="0"/>
        <w:numPr>
          <w:ilvl w:val="1"/>
          <w:numId w:val="4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Съемные протезы – 1 год.</w:t>
      </w:r>
    </w:p>
    <w:p>
      <w:pPr>
        <w:widowControl w:val="0"/>
        <w:numPr>
          <w:ilvl w:val="1"/>
          <w:numId w:val="4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На замковые элементы съемных протезов: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ind w:left="992" w:right="-6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-  на металлические части 1 год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ind w:left="992" w:right="-6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-  на пластмассовые части 6 мес.</w:t>
      </w:r>
    </w:p>
    <w:p>
      <w:pPr>
        <w:widowControl w:val="0"/>
        <w:numPr>
          <w:ilvl w:val="1"/>
          <w:numId w:val="5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Условно съемные конструкции при протезировании на имплантатах – 1 год. </w:t>
      </w:r>
    </w:p>
    <w:p>
      <w:pPr>
        <w:widowControl w:val="0"/>
        <w:numPr>
          <w:ilvl w:val="1"/>
          <w:numId w:val="5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На каркасы металлокерамических или цельнолитых конструкций – 5 лет.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ind w:left="706" w:right="-6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При неудовлетворительной гигиене полости рта сроки могут уменьшаться на 70%.</w:t>
      </w:r>
    </w:p>
    <w:p>
      <w:pPr>
        <w:widowControl w:val="0"/>
        <w:tabs>
          <w:tab w:val="left" w:pos="706"/>
        </w:tabs>
        <w:autoSpaceDE w:val="0"/>
        <w:autoSpaceDN w:val="0"/>
        <w:adjustRightInd w:val="0"/>
        <w:spacing w:before="122" w:beforeLines="0" w:after="122" w:afterLines="0" w:line="240" w:lineRule="auto"/>
        <w:ind w:left="706" w:right="-6"/>
        <w:jc w:val="both"/>
        <w:rPr>
          <w:rStyle w:val="4"/>
          <w:rFonts w:hint="default"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i/>
          <w:color w:val="000000"/>
          <w:sz w:val="22"/>
          <w:szCs w:val="22"/>
          <w:u w:val="single"/>
        </w:rPr>
        <w:t>C.</w:t>
      </w:r>
      <w:r>
        <w:rPr>
          <w:rFonts w:hint="default" w:ascii="Times New Roman" w:hAnsi="Times New Roman" w:cs="Times New Roman"/>
          <w:b/>
          <w:i/>
          <w:color w:val="000000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b/>
          <w:i/>
          <w:color w:val="000000"/>
          <w:sz w:val="20"/>
          <w:szCs w:val="20"/>
          <w:u w:val="single"/>
        </w:rPr>
        <w:t>Хирургическая стоматология (имплантология):</w:t>
      </w:r>
    </w:p>
    <w:p>
      <w:pPr>
        <w:widowControl w:val="0"/>
        <w:numPr>
          <w:ilvl w:val="1"/>
          <w:numId w:val="6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Имплантат - 5 лет, при  последующем протезировании его в ЦСМ «Униклинник».</w:t>
      </w:r>
    </w:p>
    <w:p>
      <w:pPr>
        <w:widowControl w:val="0"/>
        <w:numPr>
          <w:ilvl w:val="1"/>
          <w:numId w:val="6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В случае отторжения дентального имплантата до начала протезирования, Исполнитель переустановит имплантат при возможности обеспечения безопасности оказываемой услуги и отсутствии медицинских противопоказаний. Если имплантат отторгается повторно, то Пациенту не возвращаются расходы, понесенные Исполнителем на приобретение имплантата, равно как и в случае невозможности переустановить имплантат после первого отторжения или его отторжения после протезирования. В связи с этим будут необходимы соответствующие изменения плана лечения.</w:t>
      </w:r>
    </w:p>
    <w:p>
      <w:pPr>
        <w:widowControl w:val="0"/>
        <w:numPr>
          <w:ilvl w:val="1"/>
          <w:numId w:val="6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Для реализации данной возможности Пациенту необходимо пройти осмотр и необходимые диагностические мероприятия у Исполнителя, а также предоставить ему сам имплантат.</w:t>
      </w:r>
    </w:p>
    <w:p>
      <w:pPr>
        <w:widowControl w:val="0"/>
        <w:numPr>
          <w:ilvl w:val="1"/>
          <w:numId w:val="6"/>
        </w:numPr>
        <w:tabs>
          <w:tab w:val="left" w:pos="992"/>
        </w:tabs>
        <w:autoSpaceDE w:val="0"/>
        <w:autoSpaceDN w:val="0"/>
        <w:adjustRightInd w:val="0"/>
        <w:spacing w:beforeLines="0" w:after="0" w:afterLines="0" w:line="240" w:lineRule="auto"/>
        <w:ind w:left="992" w:right="-6" w:hanging="285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При неудовлетворительной гигиене полости рта, невыполнении строгих гигиенических требований  и регулярных профгигиенических осмотров,  гарантийные сроки отсутствуют полностью.</w:t>
      </w:r>
    </w:p>
    <w:p>
      <w:pPr>
        <w:widowControl w:val="0"/>
        <w:tabs>
          <w:tab w:val="left" w:pos="706"/>
        </w:tabs>
        <w:autoSpaceDE w:val="0"/>
        <w:autoSpaceDN w:val="0"/>
        <w:adjustRightInd w:val="0"/>
        <w:spacing w:before="122" w:beforeLines="0" w:after="122" w:afterLines="0" w:line="240" w:lineRule="auto"/>
        <w:ind w:left="706" w:right="-6"/>
        <w:jc w:val="both"/>
        <w:rPr>
          <w:rStyle w:val="4"/>
          <w:rFonts w:hint="default"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b/>
          <w:i/>
          <w:color w:val="000000"/>
          <w:sz w:val="22"/>
          <w:szCs w:val="22"/>
          <w:u w:val="single"/>
        </w:rPr>
        <w:t>D.</w:t>
      </w:r>
      <w:r>
        <w:rPr>
          <w:rFonts w:hint="default" w:ascii="Times New Roman" w:hAnsi="Times New Roman" w:cs="Times New Roman"/>
          <w:b/>
          <w:i/>
          <w:color w:val="000000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b/>
          <w:i/>
          <w:color w:val="000000"/>
          <w:sz w:val="20"/>
          <w:szCs w:val="20"/>
          <w:u w:val="single"/>
        </w:rPr>
        <w:t>Ортодонтическая стоматология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ind w:left="706" w:right="-6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Съемные и несъемные ортодонтические конструкции – весь срок выполнения ортодонтических процедур, если иное не оговорено заранее с Пациентом.</w:t>
      </w:r>
    </w:p>
    <w:p>
      <w:pPr>
        <w:widowControl w:val="0"/>
        <w:autoSpaceDE w:val="0"/>
        <w:autoSpaceDN w:val="0"/>
        <w:adjustRightInd w:val="0"/>
        <w:spacing w:beforeLines="0" w:after="0" w:afterLines="0" w:line="240" w:lineRule="auto"/>
        <w:ind w:left="706" w:right="-6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widowControl w:val="0"/>
        <w:tabs>
          <w:tab w:val="left" w:pos="367"/>
        </w:tabs>
        <w:autoSpaceDE w:val="0"/>
        <w:autoSpaceDN w:val="0"/>
        <w:adjustRightInd w:val="0"/>
        <w:spacing w:before="122" w:beforeLines="0" w:after="122" w:afterLines="0" w:line="240" w:lineRule="auto"/>
        <w:ind w:right="-6"/>
        <w:jc w:val="center"/>
        <w:rPr>
          <w:rFonts w:hint="default" w:ascii="Times New Roman" w:hAnsi="Times New Roman" w:cs="Times New Roman"/>
          <w:b/>
          <w:bCs w:val="0"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2"/>
          <w:szCs w:val="22"/>
          <w:lang w:val="en-US"/>
        </w:rPr>
        <w:t>III.</w:t>
      </w:r>
      <w:r>
        <w:rPr>
          <w:rFonts w:hint="default" w:ascii="Times New Roman" w:hAnsi="Times New Roman" w:cs="Times New Roman"/>
          <w:b/>
          <w:bCs w:val="0"/>
          <w:color w:val="000000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 w:val="0"/>
          <w:color w:val="000000"/>
          <w:sz w:val="22"/>
          <w:szCs w:val="22"/>
          <w:lang w:val="ru-RU"/>
        </w:rPr>
        <w:t>ОТСУТСТВИЕ ГАРАНТИЙНОГО СРОКА</w:t>
      </w:r>
    </w:p>
    <w:p>
      <w:pPr>
        <w:widowControl w:val="0"/>
        <w:tabs>
          <w:tab w:val="left" w:pos="367"/>
        </w:tabs>
        <w:autoSpaceDE w:val="0"/>
        <w:autoSpaceDN w:val="0"/>
        <w:adjustRightInd w:val="0"/>
        <w:spacing w:before="122" w:beforeLines="0" w:after="122" w:afterLines="0" w:line="240" w:lineRule="auto"/>
        <w:ind w:right="-6"/>
        <w:jc w:val="both"/>
        <w:rPr>
          <w:rStyle w:val="4"/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 xml:space="preserve">1.8.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>Га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рантийные сроки не распространяются:</w:t>
      </w:r>
    </w:p>
    <w:p>
      <w:pPr>
        <w:widowControl w:val="0"/>
        <w:autoSpaceDE w:val="0"/>
        <w:autoSpaceDN w:val="0"/>
        <w:adjustRightInd w:val="0"/>
        <w:spacing w:before="54" w:beforeLines="0" w:after="54" w:afterLines="0" w:line="240" w:lineRule="auto"/>
        <w:ind w:left="0" w:leftChars="0" w:right="-6" w:firstLine="0" w:firstLineChars="0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1.8.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На все ортопедические конструкции, кроме указанных в пункте </w:t>
      </w:r>
      <w:r>
        <w:rPr>
          <w:rFonts w:hint="default" w:ascii="Times New Roman" w:hAnsi="Times New Roman" w:cs="Times New Roman"/>
          <w:b/>
          <w:i/>
          <w:color w:val="000000"/>
          <w:sz w:val="20"/>
          <w:szCs w:val="20"/>
        </w:rPr>
        <w:t xml:space="preserve">ортопедическая стоматология (раздел 1.7 В),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такие как временные съемные и несъемные протезы, несъемные конструкции, выполненные из пластмассы, адгезивные и иные несъемные конструкции. Таковые конструкции рассматриваются как временные и не имеют гарантийных сроков. </w:t>
      </w:r>
    </w:p>
    <w:p>
      <w:pPr>
        <w:widowControl w:val="0"/>
        <w:autoSpaceDE w:val="0"/>
        <w:autoSpaceDN w:val="0"/>
        <w:adjustRightInd w:val="0"/>
        <w:spacing w:before="54" w:beforeLines="0" w:after="54" w:afterLines="0" w:line="240" w:lineRule="auto"/>
        <w:ind w:left="0" w:leftChars="0" w:right="-6" w:firstLine="0" w:firstLineChars="0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1.8.2.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ab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На флекс-дуги, адгезивные ленты и пр. материалы, применяемые при пародонтологическом шинировании зубов.</w:t>
      </w:r>
    </w:p>
    <w:p>
      <w:pPr>
        <w:widowControl w:val="0"/>
        <w:autoSpaceDE w:val="0"/>
        <w:autoSpaceDN w:val="0"/>
        <w:adjustRightInd w:val="0"/>
        <w:spacing w:before="54" w:beforeLines="0" w:after="54" w:afterLines="0" w:line="240" w:lineRule="auto"/>
        <w:ind w:left="0" w:leftChars="0" w:right="-6" w:firstLine="0" w:firstLineChars="0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1.8.3.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ab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На все виды зубных украшений, на крепежные элементы (винты, скобы), применяемые в хирургической стоматологии.</w:t>
      </w:r>
    </w:p>
    <w:p>
      <w:pPr>
        <w:widowControl w:val="0"/>
        <w:autoSpaceDE w:val="0"/>
        <w:autoSpaceDN w:val="0"/>
        <w:adjustRightInd w:val="0"/>
        <w:spacing w:before="54" w:beforeLines="0" w:after="54" w:afterLines="0" w:line="240" w:lineRule="auto"/>
        <w:ind w:left="0" w:leftChars="0" w:right="-6" w:firstLine="0" w:firstLineChars="0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1.8.4.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ab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При отказе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Заказчика (П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ациента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)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от гарантийных обязательств, при подписании им соответствующего добровольного информированного согласия.</w:t>
      </w:r>
    </w:p>
    <w:p>
      <w:pPr>
        <w:widowControl w:val="0"/>
        <w:autoSpaceDE w:val="0"/>
        <w:autoSpaceDN w:val="0"/>
        <w:adjustRightInd w:val="0"/>
        <w:spacing w:before="54" w:beforeLines="0" w:after="54" w:afterLines="0" w:line="240" w:lineRule="auto"/>
        <w:ind w:left="0" w:leftChars="0" w:right="-6" w:firstLine="0" w:firstLineChars="0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1.8.5.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ab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Гарантия не распространяется на втулки (матрицы) замковых креплений и перебазировку съемных протезов.              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1.9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 xml:space="preserve">.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Гарантийные сроки могут быть уменьшены или отсутствовать вовсе при наличии у Пациента определенных заболеваний организма, способных влиять на зубочелюстную систему (ревматические заболевания, сахарный диабет, онкологические заболевания, некоторые виды авитаминозов и многие другие). 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Style w:val="4"/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1.10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 xml:space="preserve">.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Гарантийные сроки не распространяются на все случаи внешнего воздействия на зубочелюстную систему, каковыми могут быть травмы, перекусывание особо твердых предметов, сильное химическое, термическое, радиационное воздействие и пр. Также гарантия прекращает свое действие при работе пациента на вредном производстве.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1.11.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Гарантийные сроки не распространяются при заболевании бруксизмом (скрежет зубами), даже если было проведено лечение этого заболевания.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en-US"/>
        </w:rPr>
        <w:t>IV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. ДОПОЛНИТЕЛЬНЫЕ УСЛОВИЯ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1.12.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Исполнитель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не несет ответственности за качество оказанной Услуги (в том числе гарантийной ответственности) в случаях, если Заказчик (Пациент):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- до начала оказания Услуг не проинформировал врача о перенесенных заболеваниях, известных ему аллергических реакциях, противопоказаниях, либо до начала лечения и при прохождении курса лечения не сообщил лечащему врачу об изменениях самочувствия, об изменении состояния здоровья и физиологических особенностей организма, о начале или окончании приема лекарственных средств,</w:t>
      </w:r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- настаивает на нежелательном с точки зрения врача методе лечения, конструкции протеза или применения материала (медикамента). При этом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Заказчик (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Пациент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)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расписывается в амбулаторной карте о том, что он проинформирован лечащим врачом, но настаивает на своём методе лечения. С этого момента Исполнитель вправе продолжить оказание Заказчику стоматологических услуг, но ответственности за их качество Исполнитель не несёт, и гарантийный срок на такие услуги Заказчиком не устанавливается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.</w:t>
      </w:r>
      <w:bookmarkStart w:id="0" w:name="_GoBack"/>
      <w:bookmarkEnd w:id="0"/>
    </w:p>
    <w:p>
      <w:pPr>
        <w:widowControl w:val="0"/>
        <w:tabs>
          <w:tab w:val="left" w:pos="367"/>
          <w:tab w:val="left" w:pos="706"/>
        </w:tabs>
        <w:autoSpaceDE w:val="0"/>
        <w:autoSpaceDN w:val="0"/>
        <w:adjustRightInd w:val="0"/>
        <w:spacing w:before="54" w:beforeLines="0" w:after="54" w:afterLines="0" w:line="240" w:lineRule="auto"/>
        <w:ind w:right="-6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sectPr>
      <w:pgSz w:w="11900" w:h="16840"/>
      <w:pgMar w:top="709" w:right="850" w:bottom="709" w:left="851" w:header="720" w:footer="720" w:gutter="0"/>
      <w:lnNumType w:countBy="0" w:distance="36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cs="Times New Roman"/>
        <w:u w:val="none" w:color="auto"/>
      </w:rPr>
    </w:lvl>
    <w:lvl w:ilvl="2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3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4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5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6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7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8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</w:abstractNum>
  <w:abstractNum w:abstractNumId="1">
    <w:nsid w:val="00000012"/>
    <w:multiLevelType w:val="multilevel"/>
    <w:tmpl w:val="00000012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/>
        <w:u w:val="none" w:color="auto"/>
      </w:rPr>
    </w:lvl>
    <w:lvl w:ilvl="2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3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4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5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6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7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8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</w:abstractNum>
  <w:abstractNum w:abstractNumId="2">
    <w:nsid w:val="00000014"/>
    <w:multiLevelType w:val="multilevel"/>
    <w:tmpl w:val="00000014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/>
        <w:u w:val="none" w:color="auto"/>
      </w:rPr>
    </w:lvl>
    <w:lvl w:ilvl="2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3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4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5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6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7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8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</w:abstractNum>
  <w:abstractNum w:abstractNumId="3">
    <w:nsid w:val="00000015"/>
    <w:multiLevelType w:val="multilevel"/>
    <w:tmpl w:val="00000015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/>
        <w:u w:val="none" w:color="auto"/>
      </w:rPr>
    </w:lvl>
    <w:lvl w:ilvl="2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3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4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5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6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7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8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</w:abstractNum>
  <w:abstractNum w:abstractNumId="4">
    <w:nsid w:val="00000017"/>
    <w:multiLevelType w:val="multilevel"/>
    <w:tmpl w:val="00000017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/>
        <w:u w:val="none" w:color="auto"/>
      </w:rPr>
    </w:lvl>
    <w:lvl w:ilvl="2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3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4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5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6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7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  <w:lvl w:ilvl="8" w:tentative="0">
      <w:start w:val="0"/>
      <w:numFmt w:val="decimal"/>
      <w:lvlText w:val=""/>
      <w:lvlJc w:val="left"/>
      <w:pPr>
        <w:ind w:left="0"/>
      </w:pPr>
      <w:rPr>
        <w:rFonts w:hint="default" w:cs="Times New Roman"/>
        <w:u w:val="none" w:color="auto"/>
      </w:rPr>
    </w:lvl>
  </w:abstractNum>
  <w:abstractNum w:abstractNumId="5">
    <w:nsid w:val="513B4F92"/>
    <w:multiLevelType w:val="singleLevel"/>
    <w:tmpl w:val="513B4F92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73B1"/>
    <w:rsid w:val="0A611896"/>
    <w:rsid w:val="0D6C16CC"/>
    <w:rsid w:val="148512C7"/>
    <w:rsid w:val="1D512443"/>
    <w:rsid w:val="293E15C7"/>
    <w:rsid w:val="31036799"/>
    <w:rsid w:val="345C39F7"/>
    <w:rsid w:val="3C007460"/>
    <w:rsid w:val="4C1D38FA"/>
    <w:rsid w:val="4FAD1CEE"/>
    <w:rsid w:val="562339AD"/>
    <w:rsid w:val="58D61E08"/>
    <w:rsid w:val="5EC55BA3"/>
    <w:rsid w:val="6BD576DB"/>
    <w:rsid w:val="7D3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200" w:afterLines="0" w:line="276" w:lineRule="auto"/>
    </w:pPr>
    <w:rPr>
      <w:rFonts w:hint="default" w:ascii="Calibri" w:hAnsi="SimSun" w:eastAsia="SimSun" w:cs="Calibr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1"/>
    <w:pPr>
      <w:ind w:left="232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32"/>
      <w:jc w:val="both"/>
    </w:pPr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ru-RU" w:eastAsia="en-US" w:bidi="ar-SA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2023-10-11T14:47:00Z</dcterms:created>
  <dc:creator>Евгения Владимировна</dc:creator>
  <cp:lastModifiedBy>Евгения Якубовс�</cp:lastModifiedBy>
  <dcterms:modified xsi:type="dcterms:W3CDTF">2023-10-13T10:46:01Z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B54BE060DFFA4CECAF8F791C6E9D3B84_12</vt:lpwstr>
  </property>
</Properties>
</file>